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School Performance Information 2025-2026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EXS = Reaching the expected level or better       GDS = Reaching the higher standard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3390"/>
        <w:gridCol w:w="3825"/>
        <w:tblGridChange w:id="0">
          <w:tblGrid>
            <w:gridCol w:w="1860"/>
            <w:gridCol w:w="3390"/>
            <w:gridCol w:w="3825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EYFS 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Good Level Development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National 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87%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73%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3402"/>
        <w:gridCol w:w="3827"/>
        <w:tblGridChange w:id="0">
          <w:tblGrid>
            <w:gridCol w:w="1838"/>
            <w:gridCol w:w="3402"/>
            <w:gridCol w:w="3827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Phonics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National 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78%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82%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5"/>
        <w:gridCol w:w="3990"/>
        <w:gridCol w:w="3750"/>
        <w:tblGridChange w:id="0">
          <w:tblGrid>
            <w:gridCol w:w="1275"/>
            <w:gridCol w:w="3990"/>
            <w:gridCol w:w="37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End of KS2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National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R,W,M</w:t>
            </w:r>
          </w:p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77%</w:t>
            </w:r>
          </w:p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15%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63%</w:t>
            </w:r>
          </w:p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9%</w:t>
            </w:r>
          </w:p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77%</w:t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46%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Average Scaled Score 107.4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75% </w:t>
            </w:r>
          </w:p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31% 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Average SS 106.0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Writing</w:t>
            </w:r>
          </w:p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85%</w:t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15%</w:t>
            </w:r>
          </w:p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73%</w:t>
            </w:r>
          </w:p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13%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92%</w:t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31%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Average Scaled Score 104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EXS 75% </w:t>
            </w:r>
          </w:p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GDS 24% 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Average SS 104</w:t>
            </w:r>
          </w:p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GPS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58%</w:t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72%</w:t>
            </w:r>
          </w:p>
        </w:tc>
      </w:tr>
    </w:tbl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F93F2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660B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660BB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6B51AA"/>
    <w:pPr>
      <w:ind w:left="720"/>
      <w:contextualSpacing w:val="1"/>
    </w:p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H8lX7TIaPb/Ag85IfFOsPNNqxw==">CgMxLjAyCGguZ2pkZ3hzOAByITE3NFVsU1kyLWlSWDB6TXhTNndoZC1vVi05TDFCakF2Mg==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2019-09-18T11:22:00Z</dcterms:created>
  <dc:creator>Helen Pye</dc:creator>
</cp:coreProperties>
</file>